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A0" w:rsidRPr="00137608" w:rsidRDefault="00BA43A0" w:rsidP="00BA43A0">
      <w:pPr>
        <w:jc w:val="center"/>
        <w:rPr>
          <w:rFonts w:asciiTheme="majorHAnsi" w:hAnsiTheme="majorHAnsi"/>
          <w:sz w:val="22"/>
          <w:u w:val="single"/>
        </w:rPr>
      </w:pPr>
      <w:bookmarkStart w:id="0" w:name="_GoBack"/>
      <w:bookmarkEnd w:id="0"/>
      <w:r w:rsidRPr="00137608">
        <w:rPr>
          <w:rFonts w:asciiTheme="majorHAnsi" w:hAnsiTheme="majorHAnsi"/>
          <w:sz w:val="22"/>
          <w:u w:val="single"/>
        </w:rPr>
        <w:t>Home Health &amp; Hospice in Various Deficit Proposals</w:t>
      </w:r>
    </w:p>
    <w:p w:rsidR="00BA43A0" w:rsidRPr="00F12F80" w:rsidRDefault="00BA43A0" w:rsidP="00BA43A0">
      <w:pPr>
        <w:jc w:val="center"/>
        <w:rPr>
          <w:rFonts w:asciiTheme="majorHAnsi" w:hAnsiTheme="majorHAnsi"/>
          <w:b/>
          <w:sz w:val="22"/>
          <w:u w:val="single"/>
        </w:rPr>
      </w:pPr>
    </w:p>
    <w:p w:rsidR="00BA43A0" w:rsidRPr="00F12F80" w:rsidRDefault="00550F54" w:rsidP="00BA43A0">
      <w:pPr>
        <w:rPr>
          <w:rFonts w:asciiTheme="majorHAnsi" w:hAnsiTheme="majorHAnsi"/>
          <w:b/>
          <w:sz w:val="22"/>
        </w:rPr>
      </w:pPr>
      <w:r w:rsidRPr="00F12F80">
        <w:rPr>
          <w:rFonts w:asciiTheme="majorHAnsi" w:hAnsiTheme="majorHAnsi"/>
          <w:b/>
          <w:sz w:val="22"/>
        </w:rPr>
        <w:t>I. The National Commission on Fiscal Responsibility &amp; Reform (</w:t>
      </w:r>
      <w:r w:rsidR="00BA43A0" w:rsidRPr="00F12F80">
        <w:rPr>
          <w:rFonts w:asciiTheme="majorHAnsi" w:hAnsiTheme="majorHAnsi"/>
          <w:b/>
          <w:sz w:val="22"/>
        </w:rPr>
        <w:t>Simpson</w:t>
      </w:r>
      <w:r w:rsidR="00730BC5" w:rsidRPr="00F12F80">
        <w:rPr>
          <w:rFonts w:asciiTheme="majorHAnsi" w:hAnsiTheme="majorHAnsi"/>
          <w:b/>
          <w:sz w:val="22"/>
        </w:rPr>
        <w:t>/</w:t>
      </w:r>
      <w:r w:rsidR="00BA43A0" w:rsidRPr="00F12F80">
        <w:rPr>
          <w:rFonts w:asciiTheme="majorHAnsi" w:hAnsiTheme="majorHAnsi"/>
          <w:b/>
          <w:sz w:val="22"/>
        </w:rPr>
        <w:t xml:space="preserve"> Bowles</w:t>
      </w:r>
      <w:r w:rsidR="00730BC5" w:rsidRPr="00F12F80">
        <w:rPr>
          <w:rFonts w:asciiTheme="majorHAnsi" w:hAnsiTheme="majorHAnsi"/>
          <w:b/>
          <w:sz w:val="22"/>
        </w:rPr>
        <w:t xml:space="preserve"> Report</w:t>
      </w:r>
      <w:r w:rsidRPr="00F12F80">
        <w:rPr>
          <w:rFonts w:asciiTheme="majorHAnsi" w:hAnsiTheme="majorHAnsi"/>
          <w:b/>
          <w:sz w:val="22"/>
        </w:rPr>
        <w:t>)</w:t>
      </w:r>
    </w:p>
    <w:p w:rsidR="00550F54" w:rsidRPr="00F12F80" w:rsidRDefault="00550F54" w:rsidP="00BA4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Cs/>
          <w:i/>
          <w:sz w:val="22"/>
          <w:szCs w:val="22"/>
        </w:rPr>
      </w:pPr>
    </w:p>
    <w:p w:rsidR="00BA43A0" w:rsidRPr="00F12F80" w:rsidRDefault="00BA43A0" w:rsidP="00B2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Helvetica"/>
          <w:i/>
          <w:sz w:val="22"/>
        </w:rPr>
      </w:pPr>
      <w:r w:rsidRPr="0050569E">
        <w:rPr>
          <w:rFonts w:asciiTheme="majorHAnsi" w:hAnsiTheme="majorHAnsi" w:cs="Arial"/>
          <w:b/>
          <w:bCs/>
          <w:i/>
          <w:sz w:val="22"/>
          <w:szCs w:val="22"/>
        </w:rPr>
        <w:t>Accelerate home health savings in ACA</w:t>
      </w:r>
      <w:r w:rsidR="00550F54" w:rsidRPr="00F12F80">
        <w:rPr>
          <w:rFonts w:asciiTheme="majorHAnsi" w:hAnsiTheme="majorHAnsi" w:cs="Arial"/>
          <w:i/>
          <w:sz w:val="22"/>
          <w:szCs w:val="22"/>
        </w:rPr>
        <w:t xml:space="preserve">. </w:t>
      </w:r>
      <w:r w:rsidRPr="00F12F80">
        <w:rPr>
          <w:rFonts w:asciiTheme="majorHAnsi" w:hAnsiTheme="majorHAnsi" w:cs="Arial"/>
          <w:b/>
          <w:bCs/>
          <w:i/>
          <w:iCs/>
          <w:sz w:val="22"/>
          <w:szCs w:val="22"/>
        </w:rPr>
        <w:t>(</w:t>
      </w:r>
      <w:r w:rsidRPr="00F12F80">
        <w:rPr>
          <w:rFonts w:asciiTheme="majorHAnsi" w:hAnsiTheme="majorHAnsi" w:cs="Arial"/>
          <w:b/>
          <w:bCs/>
          <w:iCs/>
          <w:sz w:val="22"/>
          <w:szCs w:val="22"/>
        </w:rPr>
        <w:t>Saves $2 billion in 2015, $9 billion through 2020</w:t>
      </w:r>
      <w:r w:rsidRPr="00F12F80">
        <w:rPr>
          <w:rFonts w:asciiTheme="majorHAnsi" w:hAnsiTheme="majorHAnsi" w:cs="Arial"/>
          <w:b/>
          <w:bCs/>
          <w:i/>
          <w:iCs/>
          <w:sz w:val="22"/>
          <w:szCs w:val="22"/>
        </w:rPr>
        <w:t>)</w:t>
      </w:r>
      <w:r w:rsidRPr="00F12F80">
        <w:rPr>
          <w:rFonts w:asciiTheme="majorHAnsi" w:hAnsiTheme="majorHAnsi" w:cs="Arial"/>
          <w:i/>
          <w:sz w:val="22"/>
          <w:szCs w:val="22"/>
        </w:rPr>
        <w:t xml:space="preserve"> </w:t>
      </w:r>
    </w:p>
    <w:p w:rsidR="00550F54" w:rsidRPr="00F12F80" w:rsidRDefault="00BA43A0" w:rsidP="00B2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 w:val="22"/>
          <w:szCs w:val="22"/>
        </w:rPr>
      </w:pPr>
      <w:r w:rsidRPr="00F12F80">
        <w:rPr>
          <w:rFonts w:asciiTheme="majorHAnsi" w:hAnsiTheme="majorHAnsi" w:cs="Arial"/>
          <w:sz w:val="22"/>
          <w:szCs w:val="22"/>
        </w:rPr>
        <w:t xml:space="preserve">The Affordable Care Act included several policies changing reimbursements for home health providers. </w:t>
      </w:r>
      <w:r w:rsidRPr="00F12F80">
        <w:rPr>
          <w:rFonts w:asciiTheme="majorHAnsi" w:hAnsiTheme="majorHAnsi" w:cs="Arial"/>
          <w:b/>
          <w:bCs/>
          <w:sz w:val="22"/>
          <w:szCs w:val="22"/>
        </w:rPr>
        <w:t xml:space="preserve"> </w:t>
      </w:r>
      <w:r w:rsidRPr="00F12F80">
        <w:rPr>
          <w:rFonts w:asciiTheme="majorHAnsi" w:hAnsiTheme="majorHAnsi" w:cs="Arial"/>
          <w:sz w:val="22"/>
          <w:szCs w:val="22"/>
        </w:rPr>
        <w:t>The Commission recommends accelerating these changes to</w:t>
      </w:r>
      <w:r w:rsidRPr="00F12F80">
        <w:rPr>
          <w:rFonts w:asciiTheme="majorHAnsi" w:hAnsiTheme="majorHAnsi" w:cs="Arial"/>
          <w:b/>
          <w:bCs/>
          <w:sz w:val="22"/>
          <w:szCs w:val="22"/>
        </w:rPr>
        <w:t xml:space="preserve"> </w:t>
      </w:r>
      <w:r w:rsidRPr="00F12F80">
        <w:rPr>
          <w:rFonts w:asciiTheme="majorHAnsi" w:hAnsiTheme="majorHAnsi" w:cs="Arial"/>
          <w:sz w:val="22"/>
          <w:szCs w:val="22"/>
        </w:rPr>
        <w:t xml:space="preserve">incorporate productivity adjustment beginning in 2013 and directing the Secretary of Health and Human Services (HHS) to phase in rebasing the home health prospective payment system by 2015 instead of 2017.  </w:t>
      </w:r>
    </w:p>
    <w:p w:rsidR="00550F54" w:rsidRPr="00F12F80" w:rsidRDefault="00550F54" w:rsidP="00BA4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p>
    <w:p w:rsidR="00550F54" w:rsidRPr="00F12F80" w:rsidRDefault="00550F54" w:rsidP="00BA4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 w:val="22"/>
          <w:szCs w:val="22"/>
        </w:rPr>
      </w:pPr>
      <w:r w:rsidRPr="00F12F80">
        <w:rPr>
          <w:rFonts w:asciiTheme="majorHAnsi" w:hAnsiTheme="majorHAnsi" w:cs="Arial"/>
          <w:b/>
          <w:sz w:val="22"/>
          <w:szCs w:val="22"/>
        </w:rPr>
        <w:t xml:space="preserve">II. </w:t>
      </w:r>
      <w:r w:rsidR="00730BC5" w:rsidRPr="00F12F80">
        <w:rPr>
          <w:rFonts w:asciiTheme="majorHAnsi" w:hAnsiTheme="majorHAnsi" w:cs="Arial"/>
          <w:b/>
          <w:sz w:val="22"/>
          <w:szCs w:val="22"/>
        </w:rPr>
        <w:t>Restoring America’s Future: Reviving the Economy, Cutting Spending &amp; Debt, and Creating a Simple, Pro-Growth Tax System (Domenici/Rivlin Report)</w:t>
      </w:r>
    </w:p>
    <w:p w:rsidR="00550F54" w:rsidRPr="00F12F80" w:rsidRDefault="00550F54" w:rsidP="00BA4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p>
    <w:p w:rsidR="00550F54" w:rsidRPr="0050569E" w:rsidRDefault="00730BC5" w:rsidP="00B2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b/>
          <w:i/>
          <w:sz w:val="22"/>
          <w:szCs w:val="22"/>
        </w:rPr>
      </w:pPr>
      <w:r w:rsidRPr="0050569E">
        <w:rPr>
          <w:rFonts w:asciiTheme="majorHAnsi" w:hAnsiTheme="majorHAnsi" w:cs="Arial"/>
          <w:b/>
          <w:i/>
          <w:sz w:val="22"/>
          <w:szCs w:val="22"/>
        </w:rPr>
        <w:t>Copay</w:t>
      </w:r>
    </w:p>
    <w:p w:rsidR="00550F54" w:rsidRPr="00F12F80" w:rsidRDefault="00550F54" w:rsidP="00B2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Helvetica"/>
          <w:sz w:val="22"/>
        </w:rPr>
      </w:pPr>
      <w:r w:rsidRPr="00F12F80">
        <w:rPr>
          <w:rFonts w:asciiTheme="majorHAnsi" w:hAnsiTheme="majorHAnsi" w:cs="Times"/>
          <w:sz w:val="22"/>
        </w:rPr>
        <w:t xml:space="preserve">Patient cost sharing in Medicare is uneven, with very high deductibles for inpatient care and no cost sharing at all for home health and laboratory services.  Bringing the benefit structure up to date can reduce outlays while improving some dimensions, such as providing catastrophic protection and reducing the </w:t>
      </w:r>
      <w:r w:rsidR="00730BC5" w:rsidRPr="00F12F80">
        <w:rPr>
          <w:rFonts w:asciiTheme="majorHAnsi" w:hAnsiTheme="majorHAnsi" w:cs="Times"/>
          <w:sz w:val="22"/>
        </w:rPr>
        <w:t xml:space="preserve">very high deductible for </w:t>
      </w:r>
      <w:r w:rsidRPr="00F12F80">
        <w:rPr>
          <w:rFonts w:asciiTheme="majorHAnsi" w:hAnsiTheme="majorHAnsi" w:cs="Times"/>
          <w:sz w:val="22"/>
        </w:rPr>
        <w:t xml:space="preserve">hospitalizations.   </w:t>
      </w:r>
    </w:p>
    <w:p w:rsidR="00550F54" w:rsidRPr="00F12F80" w:rsidRDefault="00550F54" w:rsidP="00B2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Helvetica"/>
          <w:b/>
          <w:sz w:val="22"/>
        </w:rPr>
      </w:pPr>
      <w:r w:rsidRPr="00F12F80">
        <w:rPr>
          <w:rFonts w:asciiTheme="majorHAnsi" w:hAnsiTheme="majorHAnsi" w:cs="Times"/>
          <w:b/>
          <w:sz w:val="22"/>
        </w:rPr>
        <w:t xml:space="preserve"> </w:t>
      </w:r>
    </w:p>
    <w:p w:rsidR="00550F54" w:rsidRPr="00F12F80" w:rsidRDefault="00550F54" w:rsidP="00B2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Helvetica"/>
          <w:b/>
          <w:sz w:val="22"/>
        </w:rPr>
      </w:pPr>
      <w:r w:rsidRPr="00F12F80">
        <w:rPr>
          <w:rFonts w:asciiTheme="majorHAnsi" w:hAnsiTheme="majorHAnsi" w:cs="Times"/>
          <w:b/>
          <w:sz w:val="22"/>
        </w:rPr>
        <w:t>Cumulative Budget S</w:t>
      </w:r>
      <w:r w:rsidR="00730BC5" w:rsidRPr="00F12F80">
        <w:rPr>
          <w:rFonts w:asciiTheme="majorHAnsi" w:hAnsiTheme="majorHAnsi" w:cs="Times"/>
          <w:b/>
          <w:sz w:val="22"/>
        </w:rPr>
        <w:t xml:space="preserve">avings from 2012 through 2018: </w:t>
      </w:r>
      <w:r w:rsidRPr="00F12F80">
        <w:rPr>
          <w:rFonts w:asciiTheme="majorHAnsi" w:hAnsiTheme="majorHAnsi" w:cs="Times"/>
          <w:b/>
          <w:sz w:val="22"/>
        </w:rPr>
        <w:t xml:space="preserve">$14 billion   </w:t>
      </w:r>
    </w:p>
    <w:p w:rsidR="00550F54" w:rsidRPr="00F12F80" w:rsidRDefault="00550F54" w:rsidP="00B2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Helvetica"/>
          <w:sz w:val="22"/>
        </w:rPr>
      </w:pPr>
      <w:r w:rsidRPr="00F12F80">
        <w:rPr>
          <w:rFonts w:asciiTheme="majorHAnsi" w:hAnsiTheme="majorHAnsi" w:cs="Times"/>
          <w:sz w:val="22"/>
        </w:rPr>
        <w:t xml:space="preserve"> </w:t>
      </w:r>
    </w:p>
    <w:p w:rsidR="00730BC5" w:rsidRPr="00F12F80" w:rsidRDefault="00550F54" w:rsidP="00B2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Times"/>
          <w:sz w:val="22"/>
        </w:rPr>
      </w:pPr>
      <w:r w:rsidRPr="00F12F80">
        <w:rPr>
          <w:rFonts w:asciiTheme="majorHAnsi" w:hAnsiTheme="majorHAnsi" w:cs="Times"/>
          <w:sz w:val="22"/>
        </w:rPr>
        <w:t xml:space="preserve">Background:  Some features of Medicare’s benefit structure reflect the best thinking of 50 years ago and have not been updated since.  For example, a large hospital deductible is assessed for each spell of illness and a separate deductible applies to Part B services.  Home health and laboratory services have no deductible.  This proposal will create a modern benefit structure for Medicare that is calibrated in a way that reduces spending overall.  </w:t>
      </w:r>
    </w:p>
    <w:p w:rsidR="00730BC5" w:rsidRPr="00F12F80" w:rsidRDefault="00730BC5" w:rsidP="00B2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Times"/>
          <w:sz w:val="22"/>
        </w:rPr>
      </w:pPr>
    </w:p>
    <w:p w:rsidR="00730BC5" w:rsidRPr="00F12F80" w:rsidRDefault="00550F54" w:rsidP="00B2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Helvetica"/>
          <w:sz w:val="22"/>
        </w:rPr>
      </w:pPr>
      <w:r w:rsidRPr="00F12F80">
        <w:rPr>
          <w:rFonts w:asciiTheme="majorHAnsi" w:hAnsiTheme="majorHAnsi" w:cs="Times"/>
          <w:sz w:val="22"/>
        </w:rPr>
        <w:t>The modernized benefit structure will include a combined annual deductible of approximately $560 in 2011.  Once the deductible is met, a coinsurance rate of 20 percent will apply to all services, up to an annual out-of-pocket maximum</w:t>
      </w:r>
      <w:r w:rsidR="007B4273">
        <w:rPr>
          <w:rFonts w:asciiTheme="majorHAnsi" w:hAnsiTheme="majorHAnsi" w:cs="Times"/>
          <w:sz w:val="22"/>
        </w:rPr>
        <w:t xml:space="preserve"> </w:t>
      </w:r>
      <w:r w:rsidR="00730BC5" w:rsidRPr="00F12F80">
        <w:rPr>
          <w:rFonts w:asciiTheme="majorHAnsi" w:hAnsiTheme="majorHAnsi" w:cs="Times"/>
          <w:sz w:val="22"/>
        </w:rPr>
        <w:t xml:space="preserve">of $5,250.  The deductible and out-of-pocket maximum will be indexed to increases in spending per beneficiary.   </w:t>
      </w:r>
    </w:p>
    <w:p w:rsidR="00730BC5" w:rsidRPr="00F12F80" w:rsidRDefault="00730BC5" w:rsidP="00B2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Helvetica"/>
          <w:sz w:val="22"/>
        </w:rPr>
      </w:pPr>
      <w:r w:rsidRPr="00F12F80">
        <w:rPr>
          <w:rFonts w:asciiTheme="majorHAnsi" w:hAnsiTheme="majorHAnsi" w:cs="Times"/>
          <w:sz w:val="22"/>
        </w:rPr>
        <w:t xml:space="preserve"> </w:t>
      </w:r>
    </w:p>
    <w:p w:rsidR="00730BC5" w:rsidRPr="00F12F80" w:rsidRDefault="00730BC5" w:rsidP="00B2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Helvetica"/>
          <w:sz w:val="22"/>
        </w:rPr>
      </w:pPr>
      <w:r w:rsidRPr="00F12F80">
        <w:rPr>
          <w:rFonts w:asciiTheme="majorHAnsi" w:hAnsiTheme="majorHAnsi" w:cs="Times"/>
          <w:sz w:val="22"/>
        </w:rPr>
        <w:t xml:space="preserve">To avoid having the modernized benefit structure become outdated, the Independent Payment Advisory Board (IPAB), which ACA created to contain Medicare spending, will review the benefit structure every two years and recommend changes to parallel developments in the private insurance market.  These recommendations will become law unless Congress acts to block them.  </w:t>
      </w:r>
    </w:p>
    <w:p w:rsidR="00F12F80" w:rsidRDefault="00F12F80" w:rsidP="00730BC5"/>
    <w:p w:rsidR="007B4273" w:rsidRDefault="00F12F80" w:rsidP="00730BC5">
      <w:pPr>
        <w:rPr>
          <w:rFonts w:asciiTheme="majorHAnsi" w:hAnsiTheme="majorHAnsi"/>
          <w:b/>
          <w:sz w:val="22"/>
        </w:rPr>
      </w:pPr>
      <w:r>
        <w:rPr>
          <w:rFonts w:asciiTheme="majorHAnsi" w:hAnsiTheme="majorHAnsi"/>
          <w:b/>
          <w:sz w:val="22"/>
        </w:rPr>
        <w:t>I</w:t>
      </w:r>
      <w:r w:rsidRPr="00F12F80">
        <w:rPr>
          <w:rFonts w:asciiTheme="majorHAnsi" w:hAnsiTheme="majorHAnsi"/>
          <w:b/>
          <w:sz w:val="22"/>
        </w:rPr>
        <w:t>II. MedPAC March 2011 Report to Congress</w:t>
      </w:r>
    </w:p>
    <w:p w:rsidR="00F12F80" w:rsidRDefault="00F12F80" w:rsidP="00730BC5">
      <w:pPr>
        <w:rPr>
          <w:rFonts w:asciiTheme="majorHAnsi" w:hAnsiTheme="majorHAnsi"/>
          <w:b/>
          <w:sz w:val="22"/>
        </w:rPr>
      </w:pPr>
    </w:p>
    <w:p w:rsidR="00F12F80" w:rsidRPr="0050569E" w:rsidRDefault="00F12F80" w:rsidP="00B24D4A">
      <w:pPr>
        <w:pStyle w:val="ListParagraph"/>
        <w:numPr>
          <w:ilvl w:val="0"/>
          <w:numId w:val="1"/>
        </w:numPr>
        <w:ind w:left="1080"/>
        <w:rPr>
          <w:rFonts w:asciiTheme="majorHAnsi" w:hAnsiTheme="majorHAnsi"/>
          <w:b/>
          <w:i/>
          <w:sz w:val="22"/>
        </w:rPr>
      </w:pPr>
      <w:r w:rsidRPr="0050569E">
        <w:rPr>
          <w:rFonts w:asciiTheme="majorHAnsi" w:hAnsiTheme="majorHAnsi"/>
          <w:b/>
          <w:i/>
          <w:sz w:val="22"/>
        </w:rPr>
        <w:t>Speed-up rebasing</w:t>
      </w:r>
    </w:p>
    <w:p w:rsidR="007B4273" w:rsidRDefault="00F12F80" w:rsidP="00B24D4A">
      <w:pPr>
        <w:ind w:left="720"/>
        <w:rPr>
          <w:rFonts w:asciiTheme="majorHAnsi" w:hAnsiTheme="majorHAnsi"/>
          <w:sz w:val="22"/>
        </w:rPr>
      </w:pPr>
      <w:r>
        <w:rPr>
          <w:rFonts w:asciiTheme="majorHAnsi" w:hAnsiTheme="majorHAnsi"/>
          <w:sz w:val="22"/>
        </w:rPr>
        <w:t>The Congress should direct the Secretary to begin a two-year rebasing of home health rates in 2013 and eliminate the market basket update for 2012</w:t>
      </w:r>
      <w:r w:rsidR="007B4273">
        <w:rPr>
          <w:rFonts w:asciiTheme="majorHAnsi" w:hAnsiTheme="majorHAnsi"/>
          <w:sz w:val="22"/>
        </w:rPr>
        <w:t>. The recommendation would reduce Medicare spending by $250 million to $750 million in 2012 and $5 billion to $10 billion over five years.</w:t>
      </w:r>
    </w:p>
    <w:p w:rsidR="007B4273" w:rsidRDefault="007B4273" w:rsidP="00B24D4A">
      <w:pPr>
        <w:ind w:left="720"/>
        <w:rPr>
          <w:rFonts w:asciiTheme="majorHAnsi" w:hAnsiTheme="majorHAnsi"/>
          <w:sz w:val="22"/>
        </w:rPr>
      </w:pPr>
    </w:p>
    <w:p w:rsidR="007B4273" w:rsidRPr="0050569E" w:rsidRDefault="007B4273" w:rsidP="00B24D4A">
      <w:pPr>
        <w:pStyle w:val="ListParagraph"/>
        <w:numPr>
          <w:ilvl w:val="0"/>
          <w:numId w:val="1"/>
        </w:numPr>
        <w:ind w:left="1080"/>
        <w:rPr>
          <w:rFonts w:asciiTheme="majorHAnsi" w:hAnsiTheme="majorHAnsi"/>
          <w:b/>
          <w:i/>
          <w:sz w:val="22"/>
        </w:rPr>
      </w:pPr>
      <w:r w:rsidRPr="0050569E">
        <w:rPr>
          <w:rFonts w:asciiTheme="majorHAnsi" w:hAnsiTheme="majorHAnsi"/>
          <w:b/>
          <w:i/>
          <w:sz w:val="22"/>
        </w:rPr>
        <w:t>Copay</w:t>
      </w:r>
    </w:p>
    <w:p w:rsidR="002A1956" w:rsidRDefault="007B4273" w:rsidP="00B24D4A">
      <w:pPr>
        <w:ind w:left="720"/>
        <w:rPr>
          <w:rFonts w:asciiTheme="majorHAnsi" w:hAnsiTheme="majorHAnsi"/>
          <w:sz w:val="22"/>
        </w:rPr>
      </w:pPr>
      <w:r>
        <w:rPr>
          <w:rFonts w:asciiTheme="majorHAnsi" w:hAnsiTheme="majorHAnsi"/>
          <w:sz w:val="22"/>
        </w:rPr>
        <w:t xml:space="preserve">The Congress should direct the Secretary to establish a per episode copay for home health episodes that are not preceded by hospitalization or post-acute care use. A copay of $150 per </w:t>
      </w:r>
      <w:r>
        <w:rPr>
          <w:rFonts w:asciiTheme="majorHAnsi" w:hAnsiTheme="majorHAnsi"/>
          <w:sz w:val="22"/>
        </w:rPr>
        <w:lastRenderedPageBreak/>
        <w:t>episode (excluding low-use and post-hospital episodes) would reduce Medicare spending $250 million to $750 million in 2012 and $1 billion to $5 billion over five years.</w:t>
      </w:r>
    </w:p>
    <w:p w:rsidR="002A1956" w:rsidRPr="00137608" w:rsidRDefault="002A1956" w:rsidP="007B4273">
      <w:pPr>
        <w:rPr>
          <w:rFonts w:asciiTheme="majorHAnsi" w:hAnsiTheme="majorHAnsi"/>
          <w:b/>
          <w:sz w:val="22"/>
        </w:rPr>
      </w:pPr>
    </w:p>
    <w:p w:rsidR="002A1956" w:rsidRPr="00137608" w:rsidRDefault="00FE1A99" w:rsidP="007B4273">
      <w:pPr>
        <w:rPr>
          <w:rFonts w:asciiTheme="majorHAnsi" w:hAnsiTheme="majorHAnsi"/>
          <w:b/>
          <w:sz w:val="22"/>
        </w:rPr>
      </w:pPr>
      <w:r>
        <w:rPr>
          <w:rFonts w:asciiTheme="majorHAnsi" w:hAnsiTheme="majorHAnsi"/>
          <w:sz w:val="22"/>
        </w:rPr>
        <w:t>I</w:t>
      </w:r>
      <w:r w:rsidR="002A1956" w:rsidRPr="00137608">
        <w:rPr>
          <w:rFonts w:asciiTheme="majorHAnsi" w:hAnsiTheme="majorHAnsi"/>
          <w:b/>
          <w:sz w:val="22"/>
        </w:rPr>
        <w:t xml:space="preserve">V. </w:t>
      </w:r>
      <w:r w:rsidR="00B24D4A">
        <w:rPr>
          <w:rFonts w:asciiTheme="majorHAnsi" w:hAnsiTheme="majorHAnsi"/>
          <w:b/>
          <w:sz w:val="22"/>
        </w:rPr>
        <w:t xml:space="preserve">Proposals catching the attention of </w:t>
      </w:r>
      <w:r w:rsidR="00F27A47">
        <w:rPr>
          <w:rFonts w:asciiTheme="majorHAnsi" w:hAnsiTheme="majorHAnsi"/>
          <w:b/>
          <w:sz w:val="22"/>
        </w:rPr>
        <w:t xml:space="preserve">the </w:t>
      </w:r>
      <w:r w:rsidR="002A1956" w:rsidRPr="00137608">
        <w:rPr>
          <w:rFonts w:asciiTheme="majorHAnsi" w:hAnsiTheme="majorHAnsi"/>
          <w:b/>
          <w:sz w:val="22"/>
        </w:rPr>
        <w:t xml:space="preserve">House Ways and Means </w:t>
      </w:r>
      <w:r w:rsidR="00F27A47">
        <w:rPr>
          <w:rFonts w:asciiTheme="majorHAnsi" w:hAnsiTheme="majorHAnsi"/>
          <w:b/>
          <w:sz w:val="22"/>
        </w:rPr>
        <w:t>Committee</w:t>
      </w:r>
    </w:p>
    <w:p w:rsidR="002A1956" w:rsidRPr="002A1956" w:rsidRDefault="002A1956" w:rsidP="002A1956">
      <w:pPr>
        <w:pStyle w:val="NoSpacing"/>
        <w:rPr>
          <w:rFonts w:asciiTheme="majorHAnsi" w:hAnsiTheme="majorHAnsi"/>
          <w:b/>
        </w:rPr>
      </w:pPr>
    </w:p>
    <w:p w:rsidR="002A1956" w:rsidRPr="002A1956" w:rsidRDefault="002A1956" w:rsidP="00B24D4A">
      <w:pPr>
        <w:pStyle w:val="NoSpacing"/>
        <w:numPr>
          <w:ilvl w:val="0"/>
          <w:numId w:val="2"/>
        </w:numPr>
        <w:ind w:left="1080"/>
        <w:rPr>
          <w:rFonts w:asciiTheme="majorHAnsi" w:hAnsiTheme="majorHAnsi"/>
        </w:rPr>
      </w:pPr>
      <w:r w:rsidRPr="0050569E">
        <w:rPr>
          <w:rFonts w:asciiTheme="majorHAnsi" w:hAnsiTheme="majorHAnsi"/>
          <w:b/>
          <w:i/>
        </w:rPr>
        <w:t>Accelerate Home Health Rebasing</w:t>
      </w:r>
      <w:r w:rsidRPr="002A1956">
        <w:rPr>
          <w:rFonts w:asciiTheme="majorHAnsi" w:hAnsiTheme="majorHAnsi"/>
          <w:b/>
        </w:rPr>
        <w:t xml:space="preserve"> (-$3 billion, CBO): </w:t>
      </w:r>
      <w:r w:rsidRPr="002A1956">
        <w:rPr>
          <w:rFonts w:asciiTheme="majorHAnsi" w:hAnsiTheme="majorHAnsi"/>
        </w:rPr>
        <w:t xml:space="preserve">The Affordable Care Act enacted a recommendation from the Medicare Payment Advisory Commission (MedPAC) to “rebase” payments to home health agencies.  Since 1998, the number of visits per episode has declined from 31.6 visits per 60-day episode to 22 visits per episode in 2007.  However, the rate is still set as if Medicare were paying for 31.6 visits per episode.  The ACA requires a rebased payment level to be phased-in over four years starting in 2014.  This proposal would accelerate the rebasing so that it is finished within the two-year period of 2014-2015.   This proposal was included in the Simpson-Bowles recommendations.  </w:t>
      </w:r>
    </w:p>
    <w:p w:rsidR="002A1956" w:rsidRPr="002A1956" w:rsidRDefault="002A1956" w:rsidP="00B24D4A">
      <w:pPr>
        <w:pStyle w:val="NoSpacing"/>
        <w:ind w:left="720"/>
        <w:rPr>
          <w:rFonts w:asciiTheme="majorHAnsi" w:hAnsiTheme="majorHAnsi"/>
        </w:rPr>
      </w:pPr>
    </w:p>
    <w:p w:rsidR="002A1956" w:rsidRPr="002A1956" w:rsidRDefault="002A1956" w:rsidP="00B24D4A">
      <w:pPr>
        <w:pStyle w:val="NoSpacing"/>
        <w:ind w:left="1440"/>
        <w:rPr>
          <w:rFonts w:asciiTheme="majorHAnsi" w:hAnsiTheme="majorHAnsi"/>
          <w:b/>
          <w:i/>
          <w:u w:val="single"/>
        </w:rPr>
      </w:pPr>
      <w:r w:rsidRPr="002A1956">
        <w:rPr>
          <w:rFonts w:asciiTheme="majorHAnsi" w:hAnsiTheme="majorHAnsi"/>
          <w:b/>
          <w:i/>
        </w:rPr>
        <w:t>Discussion</w:t>
      </w:r>
      <w:r w:rsidRPr="002A1956">
        <w:rPr>
          <w:rFonts w:asciiTheme="majorHAnsi" w:hAnsiTheme="majorHAnsi"/>
          <w:i/>
        </w:rPr>
        <w:t>: MedPAC recommends a two-year rebasing</w:t>
      </w:r>
      <w:r w:rsidRPr="002A1956">
        <w:rPr>
          <w:rFonts w:asciiTheme="majorHAnsi" w:hAnsiTheme="majorHAnsi"/>
        </w:rPr>
        <w:t xml:space="preserve">, </w:t>
      </w:r>
      <w:r w:rsidRPr="002A1956">
        <w:rPr>
          <w:rFonts w:asciiTheme="majorHAnsi" w:hAnsiTheme="majorHAnsi"/>
          <w:i/>
        </w:rPr>
        <w:t xml:space="preserve">beginning in 2013.  At this point, it is not feasible to start in 2013, so this policy retains the ACA date of 2014 but accelerates the timeframe consistent with the MedPAC recommendation.  The home health industry will argue that this adjustment is punitive, particularly when combined with proposed regulatory changes that will lower payments in response to coding increases and a possible market basket freeze.   </w:t>
      </w:r>
    </w:p>
    <w:p w:rsidR="002A1956" w:rsidRPr="002A1956" w:rsidRDefault="002A1956" w:rsidP="00B24D4A">
      <w:pPr>
        <w:ind w:left="720"/>
        <w:rPr>
          <w:rFonts w:asciiTheme="majorHAnsi" w:hAnsiTheme="majorHAnsi"/>
          <w:sz w:val="22"/>
        </w:rPr>
      </w:pPr>
    </w:p>
    <w:p w:rsidR="002A1956" w:rsidRPr="002A1956" w:rsidRDefault="002A1956" w:rsidP="00B24D4A">
      <w:pPr>
        <w:pStyle w:val="NoSpacing"/>
        <w:numPr>
          <w:ilvl w:val="0"/>
          <w:numId w:val="2"/>
        </w:numPr>
        <w:ind w:left="1080"/>
        <w:rPr>
          <w:rFonts w:asciiTheme="majorHAnsi" w:hAnsiTheme="majorHAnsi"/>
        </w:rPr>
      </w:pPr>
      <w:r w:rsidRPr="0050569E">
        <w:rPr>
          <w:rFonts w:asciiTheme="majorHAnsi" w:hAnsiTheme="majorHAnsi"/>
          <w:b/>
          <w:i/>
        </w:rPr>
        <w:t>New Home Health Copay</w:t>
      </w:r>
      <w:r w:rsidRPr="002A1956">
        <w:rPr>
          <w:rFonts w:asciiTheme="majorHAnsi" w:hAnsiTheme="majorHAnsi"/>
          <w:b/>
        </w:rPr>
        <w:t xml:space="preserve"> (-$40.1, CBO; -$1 to -$5 billion over five years, MedPAC):  </w:t>
      </w:r>
      <w:r w:rsidRPr="002A1956">
        <w:rPr>
          <w:rFonts w:asciiTheme="majorHAnsi" w:hAnsiTheme="majorHAnsi"/>
        </w:rPr>
        <w:t xml:space="preserve">Medicare beneficiaries currently do not pay any cost-sharing for home health services.  This policy would charge beneficiaries a 10 percent copayment for each home health episode, yielding an average increase in beneficiary costs of $600.  Alternatively, MedPAC recommends a copay of $150 per episode, excluding low-use/low-visit and post-hospital episodes.  </w:t>
      </w:r>
    </w:p>
    <w:p w:rsidR="002A1956" w:rsidRPr="002A1956" w:rsidRDefault="002A1956" w:rsidP="00B24D4A">
      <w:pPr>
        <w:pStyle w:val="NoSpacing"/>
        <w:ind w:left="720"/>
        <w:rPr>
          <w:rFonts w:asciiTheme="majorHAnsi" w:hAnsiTheme="majorHAnsi"/>
        </w:rPr>
      </w:pPr>
    </w:p>
    <w:p w:rsidR="002A1956" w:rsidRPr="002A1956" w:rsidRDefault="002A1956" w:rsidP="00B24D4A">
      <w:pPr>
        <w:pStyle w:val="NoSpacing"/>
        <w:ind w:left="1440"/>
        <w:rPr>
          <w:rFonts w:asciiTheme="majorHAnsi" w:hAnsiTheme="majorHAnsi"/>
          <w:i/>
        </w:rPr>
      </w:pPr>
      <w:r w:rsidRPr="002A1956">
        <w:rPr>
          <w:rFonts w:asciiTheme="majorHAnsi" w:hAnsiTheme="majorHAnsi"/>
          <w:b/>
          <w:i/>
        </w:rPr>
        <w:t>Discussion</w:t>
      </w:r>
      <w:r w:rsidRPr="002A1956">
        <w:rPr>
          <w:rFonts w:asciiTheme="majorHAnsi" w:hAnsiTheme="majorHAnsi"/>
          <w:i/>
        </w:rPr>
        <w:t xml:space="preserve">:  Proponents of this policy, including MedPAC, argue that a copay will help to reduce unnecessary utilization.  However, MedPAC also recognizes that a copay should not be set so high as to dissuade beneficiaries from seeking needed care or lead them to seek care in more expensive settings.  MedPAC also recommends a number of exceptions, including that the copay not be applied to dual beneficiaries or to the first home health visit after a hospital discharge.  Beneficiary groups will object to a new home health copay, as such a policy disproportionately affects older, sicker, female beneficiaries. </w:t>
      </w:r>
    </w:p>
    <w:p w:rsidR="00FE1A99" w:rsidRDefault="00FE1A99" w:rsidP="007B4273">
      <w:pPr>
        <w:rPr>
          <w:rFonts w:asciiTheme="majorHAnsi" w:hAnsiTheme="majorHAnsi"/>
          <w:sz w:val="22"/>
        </w:rPr>
      </w:pPr>
    </w:p>
    <w:p w:rsidR="00FE1A99" w:rsidRDefault="00FE1A99" w:rsidP="00FE1A99">
      <w:pPr>
        <w:rPr>
          <w:rFonts w:asciiTheme="majorHAnsi" w:hAnsiTheme="majorHAnsi"/>
          <w:b/>
          <w:sz w:val="22"/>
        </w:rPr>
      </w:pPr>
      <w:r>
        <w:rPr>
          <w:rFonts w:asciiTheme="majorHAnsi" w:hAnsiTheme="majorHAnsi"/>
          <w:b/>
          <w:sz w:val="22"/>
        </w:rPr>
        <w:t>V. A Bipartisan Plan to Reduce Our Nation’s Deficits (Gang of Six)</w:t>
      </w:r>
    </w:p>
    <w:p w:rsidR="00FE1A99" w:rsidRDefault="00FE1A99" w:rsidP="00B24D4A">
      <w:pPr>
        <w:ind w:left="720"/>
        <w:rPr>
          <w:rFonts w:asciiTheme="majorHAnsi" w:hAnsiTheme="majorHAnsi"/>
          <w:sz w:val="22"/>
        </w:rPr>
      </w:pPr>
      <w:r>
        <w:rPr>
          <w:rFonts w:asciiTheme="majorHAnsi" w:hAnsiTheme="majorHAnsi"/>
          <w:sz w:val="22"/>
        </w:rPr>
        <w:t>The commission report did not include language specific to Home Health or Hospice but did require the Budget Committee to report legislation reviewing total federal health care spending starting in 2020 with a target of holding growth to GDP plus one percent per beneficiary.</w:t>
      </w:r>
    </w:p>
    <w:p w:rsidR="00B24D4A" w:rsidRDefault="00B24D4A" w:rsidP="007B4273">
      <w:pPr>
        <w:rPr>
          <w:rFonts w:asciiTheme="majorHAnsi" w:hAnsiTheme="majorHAnsi"/>
          <w:sz w:val="22"/>
        </w:rPr>
      </w:pPr>
    </w:p>
    <w:p w:rsidR="0050569E" w:rsidRDefault="00B24D4A" w:rsidP="007B4273">
      <w:pPr>
        <w:rPr>
          <w:rFonts w:asciiTheme="majorHAnsi" w:hAnsiTheme="majorHAnsi"/>
          <w:b/>
          <w:sz w:val="22"/>
        </w:rPr>
      </w:pPr>
      <w:r w:rsidRPr="00B24D4A">
        <w:rPr>
          <w:rFonts w:asciiTheme="majorHAnsi" w:hAnsiTheme="majorHAnsi"/>
          <w:b/>
          <w:sz w:val="22"/>
        </w:rPr>
        <w:t xml:space="preserve">VI. </w:t>
      </w:r>
      <w:r w:rsidR="0050569E">
        <w:rPr>
          <w:rFonts w:asciiTheme="majorHAnsi" w:hAnsiTheme="majorHAnsi"/>
          <w:b/>
          <w:sz w:val="22"/>
        </w:rPr>
        <w:t>Living Within Our Means &amp; Investing in the Future: The President’s Plan for Economic Growth &amp; Deficit Reduction (September 2011)</w:t>
      </w:r>
    </w:p>
    <w:p w:rsidR="0050569E" w:rsidRDefault="0050569E" w:rsidP="007B4273">
      <w:pPr>
        <w:rPr>
          <w:rFonts w:asciiTheme="majorHAnsi" w:hAnsiTheme="majorHAnsi"/>
          <w:b/>
          <w:sz w:val="22"/>
        </w:rPr>
      </w:pPr>
    </w:p>
    <w:p w:rsidR="0050569E" w:rsidRPr="0050569E" w:rsidRDefault="0050569E" w:rsidP="0050569E">
      <w:pPr>
        <w:ind w:left="560"/>
        <w:rPr>
          <w:rFonts w:asciiTheme="majorHAnsi" w:hAnsiTheme="majorHAnsi"/>
          <w:b/>
          <w:i/>
          <w:sz w:val="22"/>
        </w:rPr>
      </w:pPr>
      <w:r>
        <w:rPr>
          <w:rFonts w:asciiTheme="majorHAnsi" w:hAnsiTheme="majorHAnsi"/>
          <w:b/>
          <w:i/>
          <w:sz w:val="22"/>
        </w:rPr>
        <w:t>Home Health Copay</w:t>
      </w:r>
    </w:p>
    <w:p w:rsidR="00F14B7C" w:rsidRDefault="0050569E" w:rsidP="005056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Helvetica"/>
          <w:sz w:val="22"/>
        </w:rPr>
      </w:pPr>
      <w:r w:rsidRPr="0050569E">
        <w:rPr>
          <w:rFonts w:asciiTheme="majorHAnsi" w:hAnsiTheme="majorHAnsi" w:cs="Times"/>
          <w:sz w:val="22"/>
          <w:szCs w:val="20"/>
        </w:rPr>
        <w:t>Introduce home health co-payments for new beneficiaries. Medicare beneficiaries currently do not make copayments for Medicare home health services</w:t>
      </w:r>
      <w:r w:rsidRPr="0050569E">
        <w:rPr>
          <w:rFonts w:asciiTheme="majorHAnsi" w:hAnsiTheme="majorHAnsi" w:cs="Lucida Grande"/>
          <w:sz w:val="22"/>
          <w:szCs w:val="20"/>
        </w:rPr>
        <w:t xml:space="preserve">. </w:t>
      </w:r>
      <w:r w:rsidRPr="0050569E">
        <w:rPr>
          <w:rFonts w:asciiTheme="majorHAnsi" w:hAnsiTheme="majorHAnsi" w:cs="Times"/>
          <w:sz w:val="22"/>
          <w:szCs w:val="20"/>
        </w:rPr>
        <w:t xml:space="preserve">This proposal would create a home </w:t>
      </w:r>
      <w:r w:rsidRPr="0050569E">
        <w:rPr>
          <w:rFonts w:asciiTheme="majorHAnsi" w:hAnsiTheme="majorHAnsi" w:cs="Times"/>
          <w:sz w:val="22"/>
          <w:szCs w:val="20"/>
        </w:rPr>
        <w:lastRenderedPageBreak/>
        <w:t>health copayment of $100 per home health episode, applicable for episodes with five or more visits not preceded by a hospital or other inpatient post-acute care stay</w:t>
      </w:r>
      <w:r w:rsidRPr="0050569E">
        <w:rPr>
          <w:rFonts w:asciiTheme="majorHAnsi" w:hAnsiTheme="majorHAnsi" w:cs="Lucida Grande"/>
          <w:sz w:val="22"/>
          <w:szCs w:val="20"/>
        </w:rPr>
        <w:t xml:space="preserve">. </w:t>
      </w:r>
      <w:r w:rsidRPr="0050569E">
        <w:rPr>
          <w:rFonts w:asciiTheme="majorHAnsi" w:hAnsiTheme="majorHAnsi" w:cs="Times"/>
          <w:sz w:val="22"/>
          <w:szCs w:val="20"/>
        </w:rPr>
        <w:t xml:space="preserve">This would apply to new beneficiaries beginning in 2017. This proposal is consistent with a MedPAC recommendation to establish a per episode copayment. MedPAC noted that “beneficiaries without a prior hospitalization account for a rising share of episodes” and that “adding beneficiary cost sharing for home health care could be an additional measure to encourage appropriate use of home health services.” This proposal will save approximately $400 million over 10 years. </w:t>
      </w:r>
      <w:r w:rsidRPr="0050569E">
        <w:rPr>
          <w:rFonts w:asciiTheme="majorHAnsi" w:hAnsiTheme="majorHAnsi" w:cs="Helvetica"/>
          <w:sz w:val="22"/>
        </w:rPr>
        <w:t xml:space="preserve"> </w:t>
      </w:r>
    </w:p>
    <w:p w:rsidR="00F14B7C" w:rsidRDefault="00F14B7C" w:rsidP="005056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Helvetica"/>
          <w:sz w:val="22"/>
        </w:rPr>
      </w:pPr>
    </w:p>
    <w:p w:rsidR="00163FCB" w:rsidRPr="00163FCB" w:rsidRDefault="00163FCB" w:rsidP="00F14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b/>
          <w:sz w:val="22"/>
        </w:rPr>
      </w:pPr>
      <w:r w:rsidRPr="00163FCB">
        <w:rPr>
          <w:rFonts w:asciiTheme="majorHAnsi" w:hAnsiTheme="majorHAnsi" w:cs="Helvetica"/>
          <w:b/>
          <w:sz w:val="22"/>
        </w:rPr>
        <w:t>VII. MedPAC September 2011 SGR fix; offsets</w:t>
      </w:r>
    </w:p>
    <w:p w:rsidR="0050569E" w:rsidRPr="0050569E" w:rsidRDefault="0050569E" w:rsidP="00F14B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sz w:val="22"/>
        </w:rPr>
      </w:pPr>
    </w:p>
    <w:p w:rsidR="00163FCB" w:rsidRPr="00163FCB" w:rsidRDefault="00163FCB" w:rsidP="00163FCB">
      <w:pPr>
        <w:ind w:left="720"/>
        <w:rPr>
          <w:rFonts w:asciiTheme="majorHAnsi" w:hAnsiTheme="majorHAnsi"/>
          <w:sz w:val="22"/>
        </w:rPr>
      </w:pPr>
      <w:r w:rsidRPr="00163FCB">
        <w:rPr>
          <w:rFonts w:asciiTheme="majorHAnsi" w:hAnsiTheme="majorHAnsi"/>
          <w:sz w:val="22"/>
        </w:rPr>
        <w:t>MedPAC released a draft list of pro</w:t>
      </w:r>
      <w:r>
        <w:rPr>
          <w:rFonts w:asciiTheme="majorHAnsi" w:hAnsiTheme="majorHAnsi"/>
          <w:sz w:val="22"/>
        </w:rPr>
        <w:t xml:space="preserve">posals on Monday September 19, </w:t>
      </w:r>
      <w:r w:rsidRPr="00163FCB">
        <w:rPr>
          <w:rFonts w:asciiTheme="majorHAnsi" w:hAnsiTheme="majorHAnsi"/>
          <w:sz w:val="22"/>
        </w:rPr>
        <w:t>2</w:t>
      </w:r>
      <w:r>
        <w:rPr>
          <w:rFonts w:asciiTheme="majorHAnsi" w:hAnsiTheme="majorHAnsi"/>
          <w:sz w:val="22"/>
        </w:rPr>
        <w:t>0</w:t>
      </w:r>
      <w:r w:rsidRPr="00163FCB">
        <w:rPr>
          <w:rFonts w:asciiTheme="majorHAnsi" w:hAnsiTheme="majorHAnsi"/>
          <w:sz w:val="22"/>
        </w:rPr>
        <w:t xml:space="preserve">11 </w:t>
      </w:r>
      <w:r w:rsidR="007F79F8">
        <w:rPr>
          <w:rFonts w:asciiTheme="majorHAnsi" w:hAnsiTheme="majorHAnsi"/>
          <w:sz w:val="22"/>
        </w:rPr>
        <w:t xml:space="preserve">of </w:t>
      </w:r>
      <w:r>
        <w:rPr>
          <w:rFonts w:asciiTheme="majorHAnsi" w:hAnsiTheme="majorHAnsi"/>
          <w:sz w:val="22"/>
        </w:rPr>
        <w:t xml:space="preserve">potential </w:t>
      </w:r>
      <w:r w:rsidRPr="00163FCB">
        <w:rPr>
          <w:rFonts w:asciiTheme="majorHAnsi" w:hAnsiTheme="majorHAnsi"/>
          <w:sz w:val="22"/>
        </w:rPr>
        <w:t>offset</w:t>
      </w:r>
      <w:r>
        <w:rPr>
          <w:rFonts w:asciiTheme="majorHAnsi" w:hAnsiTheme="majorHAnsi"/>
          <w:sz w:val="22"/>
        </w:rPr>
        <w:t>s for</w:t>
      </w:r>
      <w:r w:rsidRPr="00163FCB">
        <w:rPr>
          <w:rFonts w:asciiTheme="majorHAnsi" w:hAnsiTheme="majorHAnsi"/>
          <w:sz w:val="22"/>
        </w:rPr>
        <w:t xml:space="preserve"> the cost of overhauling the Medicare physician payment formula. The offsets are divided into two categories: $50 billion in savings would come from proposals that have been recommended by the commission in previous reports or comments letters, and $180 billion would come from suggestions by such outside groups as the Department of Health and Human Services, the Office of Inspector General and the Congressional Budget Office.</w:t>
      </w:r>
    </w:p>
    <w:p w:rsidR="00163FCB" w:rsidRPr="00163FCB" w:rsidRDefault="00163FCB" w:rsidP="00163FCB">
      <w:pPr>
        <w:ind w:left="720"/>
        <w:rPr>
          <w:rFonts w:asciiTheme="majorHAnsi" w:hAnsiTheme="majorHAnsi"/>
          <w:sz w:val="22"/>
        </w:rPr>
      </w:pPr>
    </w:p>
    <w:p w:rsidR="00163FCB" w:rsidRPr="00163FCB" w:rsidRDefault="00163FCB" w:rsidP="00163FCB">
      <w:pPr>
        <w:ind w:left="720"/>
        <w:rPr>
          <w:rFonts w:asciiTheme="majorHAnsi" w:hAnsiTheme="majorHAnsi"/>
          <w:sz w:val="22"/>
        </w:rPr>
      </w:pPr>
      <w:r>
        <w:rPr>
          <w:rFonts w:asciiTheme="majorHAnsi" w:hAnsiTheme="majorHAnsi"/>
          <w:sz w:val="22"/>
        </w:rPr>
        <w:t>Among several others, t</w:t>
      </w:r>
      <w:r w:rsidRPr="00163FCB">
        <w:rPr>
          <w:rFonts w:asciiTheme="majorHAnsi" w:hAnsiTheme="majorHAnsi"/>
          <w:sz w:val="22"/>
        </w:rPr>
        <w:t>he list included the following:</w:t>
      </w:r>
    </w:p>
    <w:p w:rsidR="00163FCB" w:rsidRPr="00163FCB" w:rsidRDefault="00163FCB" w:rsidP="00163FCB">
      <w:pPr>
        <w:pStyle w:val="ListParagraph"/>
        <w:numPr>
          <w:ilvl w:val="0"/>
          <w:numId w:val="3"/>
        </w:numPr>
        <w:ind w:left="1440"/>
        <w:rPr>
          <w:rFonts w:asciiTheme="majorHAnsi" w:hAnsiTheme="majorHAnsi"/>
          <w:sz w:val="22"/>
        </w:rPr>
      </w:pPr>
      <w:r w:rsidRPr="00163FCB">
        <w:rPr>
          <w:rFonts w:asciiTheme="majorHAnsi" w:hAnsiTheme="majorHAnsi"/>
          <w:sz w:val="22"/>
        </w:rPr>
        <w:t>Rebase home health payment in 2013 and no update in 2012 to save $10 billion over a ten-year period</w:t>
      </w:r>
      <w:r>
        <w:rPr>
          <w:rFonts w:asciiTheme="majorHAnsi" w:hAnsiTheme="majorHAnsi"/>
          <w:sz w:val="22"/>
        </w:rPr>
        <w:t>; and</w:t>
      </w:r>
    </w:p>
    <w:p w:rsidR="00BA43A0" w:rsidRPr="00163FCB" w:rsidRDefault="00163FCB" w:rsidP="00163FCB">
      <w:pPr>
        <w:pStyle w:val="ListParagraph"/>
        <w:numPr>
          <w:ilvl w:val="0"/>
          <w:numId w:val="3"/>
        </w:numPr>
        <w:ind w:left="1440"/>
        <w:rPr>
          <w:rFonts w:asciiTheme="majorHAnsi" w:hAnsiTheme="majorHAnsi"/>
          <w:sz w:val="22"/>
        </w:rPr>
      </w:pPr>
      <w:r w:rsidRPr="00163FCB">
        <w:rPr>
          <w:rFonts w:asciiTheme="majorHAnsi" w:hAnsiTheme="majorHAnsi"/>
          <w:sz w:val="22"/>
        </w:rPr>
        <w:t>Institute copayments for home health episodes to save $4 billion</w:t>
      </w:r>
      <w:r w:rsidR="007F79F8">
        <w:rPr>
          <w:rFonts w:asciiTheme="majorHAnsi" w:hAnsiTheme="majorHAnsi"/>
          <w:sz w:val="22"/>
        </w:rPr>
        <w:t xml:space="preserve"> over a ten-year period.</w:t>
      </w:r>
    </w:p>
    <w:sectPr w:rsidR="00BA43A0" w:rsidRPr="00163FCB" w:rsidSect="00F12F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87611"/>
    <w:multiLevelType w:val="hybridMultilevel"/>
    <w:tmpl w:val="83B8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3AAD"/>
    <w:multiLevelType w:val="hybridMultilevel"/>
    <w:tmpl w:val="A1D63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B6408ED"/>
    <w:multiLevelType w:val="hybridMultilevel"/>
    <w:tmpl w:val="DF926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A0"/>
    <w:rsid w:val="00137608"/>
    <w:rsid w:val="00163FCB"/>
    <w:rsid w:val="001A7A07"/>
    <w:rsid w:val="002A1956"/>
    <w:rsid w:val="0050569E"/>
    <w:rsid w:val="00550F54"/>
    <w:rsid w:val="00730BC5"/>
    <w:rsid w:val="007B4273"/>
    <w:rsid w:val="007F79F8"/>
    <w:rsid w:val="009F2ECE"/>
    <w:rsid w:val="00B03715"/>
    <w:rsid w:val="00B24D4A"/>
    <w:rsid w:val="00BA43A0"/>
    <w:rsid w:val="00F12F80"/>
    <w:rsid w:val="00F14B7C"/>
    <w:rsid w:val="00F27A47"/>
    <w:rsid w:val="00FE1A9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F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80"/>
    <w:pPr>
      <w:ind w:left="720"/>
      <w:contextualSpacing/>
    </w:pPr>
  </w:style>
  <w:style w:type="paragraph" w:styleId="NoSpacing">
    <w:name w:val="No Spacing"/>
    <w:uiPriority w:val="99"/>
    <w:qFormat/>
    <w:rsid w:val="002A1956"/>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F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80"/>
    <w:pPr>
      <w:ind w:left="720"/>
      <w:contextualSpacing/>
    </w:pPr>
  </w:style>
  <w:style w:type="paragraph" w:styleId="NoSpacing">
    <w:name w:val="No Spacing"/>
    <w:uiPriority w:val="99"/>
    <w:qFormat/>
    <w:rsid w:val="002A1956"/>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6379</Characters>
  <Application>Microsoft Office Word</Application>
  <DocSecurity>4</DocSecurity>
  <Lines>53</Lines>
  <Paragraphs>14</Paragraphs>
  <ScaleCrop>false</ScaleCrop>
  <Company>The Mizeur Group</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Mizeur</dc:creator>
  <cp:lastModifiedBy>Kathleen Sheehan</cp:lastModifiedBy>
  <cp:revision>2</cp:revision>
  <dcterms:created xsi:type="dcterms:W3CDTF">2011-09-26T19:12:00Z</dcterms:created>
  <dcterms:modified xsi:type="dcterms:W3CDTF">2011-09-26T19:12:00Z</dcterms:modified>
</cp:coreProperties>
</file>